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ascii="黑体" w:hAnsi="宋体" w:eastAsia="黑体" w:cs="黑体"/>
          <w:sz w:val="31"/>
          <w:szCs w:val="31"/>
        </w:rPr>
        <w:t>附件</w:t>
      </w:r>
      <w:r>
        <w:rPr>
          <w:rFonts w:hint="eastAsia" w:ascii="黑体" w:hAnsi="宋体" w:eastAsia="黑体" w:cs="黑体"/>
          <w:sz w:val="31"/>
          <w:szCs w:val="31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6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报名流程图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center"/>
      </w:pPr>
      <w:r>
        <w:rPr>
          <w:rFonts w:ascii="仿宋_GB2312" w:hAnsi="微软雅黑" w:eastAsia="仿宋_GB2312" w:cs="仿宋_GB2312"/>
          <w:sz w:val="31"/>
          <w:szCs w:val="31"/>
        </w:rPr>
        <w:t>报名网址（</w:t>
      </w:r>
      <w:r>
        <w:rPr>
          <w:rFonts w:hint="eastAsia" w:ascii="微软雅黑" w:hAnsi="微软雅黑" w:eastAsia="微软雅黑" w:cs="微软雅黑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  <w:u w:val="none"/>
        </w:rPr>
        <w:instrText xml:space="preserve"> HYPERLINK "http://ntce.neea.edu.cn/" </w:instrText>
      </w:r>
      <w:r>
        <w:rPr>
          <w:rFonts w:hint="eastAsia" w:ascii="微软雅黑" w:hAnsi="微软雅黑" w:eastAsia="微软雅黑" w:cs="微软雅黑"/>
          <w:sz w:val="21"/>
          <w:szCs w:val="21"/>
          <w:u w:val="none"/>
        </w:rPr>
        <w:fldChar w:fldCharType="separate"/>
      </w:r>
      <w:r>
        <w:rPr>
          <w:rStyle w:val="8"/>
          <w:rFonts w:hint="default" w:ascii="仿宋_GB2312" w:hAnsi="微软雅黑" w:eastAsia="仿宋_GB2312" w:cs="仿宋_GB2312"/>
          <w:sz w:val="31"/>
          <w:szCs w:val="31"/>
          <w:u w:val="none"/>
        </w:rPr>
        <w:t>http://ntce.neea.edu.cn/</w:t>
      </w:r>
      <w:r>
        <w:rPr>
          <w:rFonts w:hint="eastAsia" w:ascii="微软雅黑" w:hAnsi="微软雅黑" w:eastAsia="微软雅黑" w:cs="微软雅黑"/>
          <w:sz w:val="21"/>
          <w:szCs w:val="21"/>
          <w:u w:val="none"/>
        </w:rPr>
        <w:fldChar w:fldCharType="end"/>
      </w:r>
      <w:r>
        <w:rPr>
          <w:rFonts w:hint="default" w:ascii="仿宋_GB2312" w:hAnsi="微软雅黑" w:eastAsia="仿宋_GB2312" w:cs="仿宋_GB2312"/>
          <w:sz w:val="31"/>
          <w:szCs w:val="31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center"/>
      </w:pPr>
      <w:bookmarkStart w:id="0" w:name="_GoBack"/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drawing>
          <wp:inline distT="0" distB="0" distL="114300" distR="114300">
            <wp:extent cx="5024120" cy="4606290"/>
            <wp:effectExtent l="0" t="0" r="508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4120" cy="4606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仿宋" w:hAnsi="仿宋" w:eastAsia="仿宋" w:cs="仿宋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</w:pPr>
      <w:r>
        <w:rPr>
          <w:rFonts w:hint="eastAsia" w:ascii="黑体" w:hAnsi="宋体" w:eastAsia="黑体" w:cs="黑体"/>
          <w:sz w:val="31"/>
          <w:szCs w:val="31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考试咨询点联系方式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center"/>
      </w:pPr>
      <w:r>
        <w:rPr>
          <w:rFonts w:hint="eastAsia" w:ascii="仿宋" w:hAnsi="仿宋" w:eastAsia="仿宋" w:cs="仿宋"/>
          <w:sz w:val="31"/>
          <w:szCs w:val="31"/>
        </w:rPr>
        <w:t>（带★为主要咨询点）</w:t>
      </w:r>
    </w:p>
    <w:tbl>
      <w:tblPr>
        <w:tblW w:w="9420" w:type="dxa"/>
        <w:jc w:val="center"/>
        <w:tblCellSpacing w:w="15" w:type="dxa"/>
        <w:tblInd w:w="-42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7"/>
        <w:gridCol w:w="2354"/>
        <w:gridCol w:w="4280"/>
        <w:gridCol w:w="17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  <w:tblCellSpacing w:w="15" w:type="dxa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考区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考试咨询点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地址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市区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广西大学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南宁市大学东路100号广西大学新东园继续教育学院212办公室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0771-3235622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广西民族大学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南宁市大学东路188号广西民族大学教务处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0771-3265112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南宁师范大学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南宁市明秀东路175号南宁师范大学行政楼307室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0771-3907897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广西财经学院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南宁市明秀西路100号广西财经学院继续教育学院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0771-3853117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广西职业师范学院★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南宁市大学东路105号广西职业师范学院继续教育部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0771-3244530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南宁学院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南宁市邕宁区龙亭路8号南宁学院继续教育学院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0771-5900908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广西机电职业技术学院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南宁市大学东路101号广西机电职院教务处考务科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0771-3248625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广西农业职业技术学院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南宁市大学东路176号广西农业职业技术学院教务处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0771-3279401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南宁市招生考试院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南宁市民生路维新街南一里9号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0771-2852098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南宁市五合大学城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南宁师范大学★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南宁市明秀东路175号南宁师范大学行政楼307室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0771-3907897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9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广西外国语学院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南宁市青秀区五合大道19号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0771-4730089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柳州市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柳州职业技术学院★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柳州市社湾路28号柳州职业技术学院办公楼前楼B206#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0772-3156275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广西科技大学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柳州市东环大道268号广西科技大学继续教育学院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0772-2687712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柳州市招生考试院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柳州市红锋路15号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0772-3813958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市区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广西师范大学育才校区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桂林市七星区育才路15号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0773-5846465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桂林理工大学★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桂林市建干路12号桂林理工大学继续教育学院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0773-5895958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桂林师范高等专科学校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桂林市临桂区飞虎路9号桂林师专办公楼4楼421教务处考务科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0773-3975058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桂林市招生考试院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桂林市秀峰区解放东路6号306办公室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0773-2881993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雁山区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广西师范大学雁山校区★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桂林市雁山区雁中路1号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0773-5846465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桂林理工大学雁山校区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桂林市建干路12号桂林理工大学继续教育学院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0773-5895958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梧州市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梧州学院★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梧州市富民三路82号梧州学院行政办公楼三楼考务科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0774-5836821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梧州市招生考试院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梧州市新兴二路5-4号四楼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0774-3825068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北海市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北海市招生考试院★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北海市广东南路市教育局4楼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0779-3201219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北海职业学院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北海市西藏路北海职业学院2号楼505室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0779-3920127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0779-3920656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钦州市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北部湾大学★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钦州市滨海大道12号行政楼202教务处考务管理科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0777-2808030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钦州市招生考试院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钦州市新兴路26号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0777-2839151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贵港市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贵港市招生考试院★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贵港市金港大道1066号教育局大院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0775-4573863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玉林市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玉林师范学院★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玉林市教育东路1303号玉林师范学院办公楼213室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0775-2666296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玉林市招生考试院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玉林市香莞路11号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0775-2673522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9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百色市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百色市招生办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百色市右江区城北二路33-2号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0776-2853268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百色学院★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百色学院澄碧校区行政楼433室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0776-2848133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右江民族医学院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百色市城乡路98号右江民族医学院教务处教务科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0776-2849543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贺州市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贺州学院★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贺州市西环路18号贺州学院西校区行政楼后楼233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0774-5228645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贺州市招生考试院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贺州市贺州大道50号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0774-5139589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河池市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河池学院★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宜州市龙江路42号河池学院东校区1号教学楼二区311室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0778-3183572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河池市招生考试院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河池市金城江区教育路105号河池高中科教楼五楼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0778-2284397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来宾市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广西科技师范学院★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来宾市铁北大道966号广西科技师范学院科教楼815室教务处教务科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0772-6620791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15" w:type="dxa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崇左市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广西民族师范学院★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崇左市佛子路23号广西民族师范学院崇德楼307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0771-7870930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</w:pPr>
      <w:r>
        <w:rPr>
          <w:rFonts w:hint="eastAsia" w:ascii="黑体" w:hAnsi="宋体" w:eastAsia="黑体" w:cs="黑体"/>
          <w:sz w:val="31"/>
          <w:szCs w:val="31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考场规则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一、开考前30分钟，考生持准考证、有效期内的居民身份证（或临时身份证、港澳台居民居住证、港澳居民来往内地通行证、5年有效期台湾居民来往大陆通行证）进入考场，两证缺一不可。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二、考生只准携带必要的考试文具，如2B铅笔、黑色签字笔、直尺、圆规、三角板、橡皮进入考场。严禁携带书籍、资料、通讯工具（如手机及其他无线接收、传送设备等）、</w:t>
      </w:r>
      <w:r>
        <w:rPr>
          <w:rStyle w:val="5"/>
          <w:rFonts w:hint="eastAsia" w:ascii="仿宋" w:hAnsi="仿宋" w:eastAsia="仿宋" w:cs="仿宋"/>
          <w:sz w:val="31"/>
          <w:szCs w:val="31"/>
        </w:rPr>
        <w:t>计时工具、</w:t>
      </w:r>
      <w:r>
        <w:rPr>
          <w:rFonts w:hint="eastAsia" w:ascii="仿宋" w:hAnsi="仿宋" w:eastAsia="仿宋" w:cs="仿宋"/>
          <w:sz w:val="31"/>
          <w:szCs w:val="31"/>
        </w:rPr>
        <w:t>电子存储记忆录放设备等非考试物品进入考场（非考试物品应放置在指定的非考试物品暂放处）。考场内不得自行传递文具用品等。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三、考生入场时，应主动接受监考员按规定进行的身份验证和随身物品检查等，并在《诚信考试承诺书》上签字。考生进入考场后对号入座，将本人准考证、身份证件放在课桌的左上角。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四、考生拿到试卷、答题卡后，先核查试卷、答题卡与本人报考的类别、科目、试卷页数、大题数是否相符，如不符，应立即举手向监考员说明情况。考生遇到试卷分发、装订错误或试题字迹印刷不清等问题应举手与监考员联系。凡涉及试题含义的，监考员一律不予解答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核准信息后，在指定位置处填写姓名、准考证号信息，并在答题卡指定区域粘贴条形码。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五、考生在开考信号发出后方可开始答题。迟到15分钟以上不得进入考场；考试结束前30分钟，方可交卷离开考场。考生未经监考员同意擅自离开考场的，按违纪处理。考生不论以任何理由离开考场后都不得重返考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考场内时钟的时间仅供参考，具体时间以考点统一指令为准。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六、考生应使用黑色签字笔在答题卡规定的区域内答题，不得在草稿纸上答题，写在草稿纸上或答题卡规定区域外的答案一律无效。在同一科目考试中，不得使用不同颜色的字迹做答。不得在答题卡上做任何标记。填涂答题卡客观题型必须使用2B铅笔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七、考生在考场内必须保持安静，严格遵守考场纪律，服从监考员管理，不得以任何理由妨碍监考员正常工作。监考员有权对考场内发生的问题按规定进行处理，如实填写《考场登记表》和《考生违规情况登记表》，并要求违规考生在《考生违规情况登记表》上签名确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八、考生离开考场前必须交卷，禁止携带试卷、答题卡、草稿纸离开考场。离开考场后，不准在考场附近逗留和交谈。考试结束信号发出后，考生应立即停止答题，并将试卷、答题卡按页码顺序整理好放在桌上，待监考员允许后方可离开考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九、考生有违纪、作弊等行为，将按照《国家教育考试违规处理办法》《教师资格条例》进行处理。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ascii="仿宋" w:hAnsi="仿宋" w:eastAsia="仿宋" w:cs="仿宋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ascii="仿宋" w:hAnsi="仿宋" w:eastAsia="仿宋" w:cs="仿宋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附件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ascii="仿宋" w:hAnsi="仿宋" w:eastAsia="仿宋" w:cs="仿宋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ascii="仿宋" w:hAnsi="仿宋" w:eastAsia="仿宋" w:cs="仿宋"/>
          <w:sz w:val="31"/>
          <w:szCs w:val="31"/>
        </w:rPr>
        <w:t>考试具体科目及时间安排如下：</w:t>
      </w:r>
    </w:p>
    <w:tbl>
      <w:tblPr>
        <w:tblW w:w="9570" w:type="dxa"/>
        <w:jc w:val="center"/>
        <w:tblCellSpacing w:w="15" w:type="dxa"/>
        <w:tblInd w:w="-497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4"/>
        <w:gridCol w:w="2484"/>
        <w:gridCol w:w="2292"/>
        <w:gridCol w:w="2820"/>
      </w:tblGrid>
      <w:tr>
        <w:tblPrEx>
          <w:shd w:val="clear"/>
          <w:tblLayout w:type="fixed"/>
        </w:tblPrEx>
        <w:trPr>
          <w:trHeight w:val="30" w:hRule="atLeast"/>
          <w:tblCellSpacing w:w="15" w:type="dxa"/>
          <w:jc w:val="center"/>
        </w:trPr>
        <w:tc>
          <w:tcPr>
            <w:tcW w:w="19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    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类别</w:t>
            </w:r>
          </w:p>
        </w:tc>
        <w:tc>
          <w:tcPr>
            <w:tcW w:w="7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11月2日（星期六）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tblCellSpacing w:w="15" w:type="dxa"/>
          <w:jc w:val="center"/>
        </w:trPr>
        <w:tc>
          <w:tcPr>
            <w:tcW w:w="192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上午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下午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下午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tblCellSpacing w:w="15" w:type="dxa"/>
          <w:jc w:val="center"/>
        </w:trPr>
        <w:tc>
          <w:tcPr>
            <w:tcW w:w="192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9:00-11:00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13:00-15:00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16:00-18:00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tblCellSpacing w:w="15" w:type="dxa"/>
          <w:jc w:val="center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pacing w:val="-15"/>
                <w:sz w:val="31"/>
                <w:szCs w:val="31"/>
              </w:rPr>
              <w:t>幼儿园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pacing w:val="-15"/>
                <w:sz w:val="31"/>
                <w:szCs w:val="31"/>
              </w:rPr>
              <w:t>综合素质（幼儿园）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pacing w:val="-15"/>
                <w:sz w:val="31"/>
                <w:szCs w:val="31"/>
              </w:rPr>
              <w:t>保教知识与能力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tblCellSpacing w:w="15" w:type="dxa"/>
          <w:jc w:val="center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pacing w:val="-15"/>
                <w:sz w:val="31"/>
                <w:szCs w:val="31"/>
              </w:rPr>
              <w:t>小  学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pacing w:val="-15"/>
                <w:sz w:val="31"/>
                <w:szCs w:val="31"/>
              </w:rPr>
              <w:t>综合素质（小学）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pacing w:val="-15"/>
                <w:sz w:val="31"/>
                <w:szCs w:val="31"/>
              </w:rPr>
              <w:t>教育教学知识与能力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tblCellSpacing w:w="15" w:type="dxa"/>
          <w:jc w:val="center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pacing w:val="-15"/>
                <w:sz w:val="31"/>
                <w:szCs w:val="31"/>
              </w:rPr>
              <w:t>初级中学</w:t>
            </w:r>
          </w:p>
        </w:tc>
        <w:tc>
          <w:tcPr>
            <w:tcW w:w="24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pacing w:val="-15"/>
                <w:sz w:val="31"/>
                <w:szCs w:val="31"/>
              </w:rPr>
              <w:t>综合素质（中学）</w:t>
            </w:r>
          </w:p>
        </w:tc>
        <w:tc>
          <w:tcPr>
            <w:tcW w:w="22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pacing w:val="-15"/>
                <w:sz w:val="31"/>
                <w:szCs w:val="31"/>
              </w:rPr>
              <w:t>教育知识与能力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pacing w:val="-15"/>
                <w:sz w:val="31"/>
                <w:szCs w:val="31"/>
              </w:rPr>
              <w:t>学科知识与教学能力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tblCellSpacing w:w="15" w:type="dxa"/>
          <w:jc w:val="center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pacing w:val="-15"/>
                <w:sz w:val="31"/>
                <w:szCs w:val="31"/>
              </w:rPr>
              <w:t>高级中学</w:t>
            </w:r>
          </w:p>
        </w:tc>
        <w:tc>
          <w:tcPr>
            <w:tcW w:w="245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pacing w:val="-15"/>
                <w:sz w:val="31"/>
                <w:szCs w:val="31"/>
              </w:rPr>
              <w:t>学科知识与教学能力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tblCellSpacing w:w="15" w:type="dxa"/>
          <w:jc w:val="center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pacing w:val="-15"/>
                <w:sz w:val="31"/>
                <w:szCs w:val="31"/>
              </w:rPr>
              <w:t>中职文化课</w:t>
            </w:r>
          </w:p>
        </w:tc>
        <w:tc>
          <w:tcPr>
            <w:tcW w:w="245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tblCellSpacing w:w="15" w:type="dxa"/>
          <w:jc w:val="center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pacing w:val="-15"/>
                <w:sz w:val="31"/>
                <w:szCs w:val="31"/>
              </w:rPr>
              <w:t>中职专业课</w:t>
            </w:r>
          </w:p>
        </w:tc>
        <w:tc>
          <w:tcPr>
            <w:tcW w:w="245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tblCellSpacing w:w="15" w:type="dxa"/>
          <w:jc w:val="center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pacing w:val="-15"/>
                <w:sz w:val="31"/>
                <w:szCs w:val="31"/>
              </w:rPr>
              <w:t>中职实习指导</w:t>
            </w:r>
          </w:p>
        </w:tc>
        <w:tc>
          <w:tcPr>
            <w:tcW w:w="245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F0B4C"/>
    <w:rsid w:val="16C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top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0000FF"/>
      <w:u w:val="none"/>
    </w:rPr>
  </w:style>
  <w:style w:type="character" w:customStyle="1" w:styleId="9">
    <w:name w:val="first-child"/>
    <w:basedOn w:val="4"/>
    <w:uiPriority w:val="0"/>
    <w:rPr>
      <w:bdr w:val="none" w:color="auto" w:sz="0" w:space="0"/>
    </w:rPr>
  </w:style>
  <w:style w:type="character" w:customStyle="1" w:styleId="10">
    <w:name w:val="layui-this"/>
    <w:basedOn w:val="4"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2019-08-16T02:09:00Z</dcterms:created>
  <dc:creator>咪咪</dc:creator>
  <cp:lastModifiedBy>咪咪</cp:lastModifiedBy>
  <dcterms:modified xsi:type="dcterms:W3CDTF">2019-08-16T02:11:43Z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